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C3" w:rsidRDefault="00A175E2">
      <w:pPr>
        <w:pStyle w:val="berschrift1"/>
        <w:rPr>
          <w:rFonts w:asciiTheme="minorHAnsi" w:hAnsiTheme="minorHAnsi" w:cstheme="minorHAnsi"/>
        </w:rPr>
      </w:pPr>
      <w:r w:rsidRPr="00A346D3">
        <w:rPr>
          <w:rFonts w:asciiTheme="minorHAnsi" w:hAnsiTheme="minorHAnsi" w:cstheme="minorHAnsi"/>
        </w:rPr>
        <w:t>Digitalisierung - bis einer weint?</w:t>
      </w:r>
    </w:p>
    <w:p w:rsidR="00A346D3" w:rsidRPr="00A346D3" w:rsidRDefault="00A346D3" w:rsidP="00A346D3">
      <w:pPr>
        <w:pStyle w:val="Textbody"/>
        <w:rPr>
          <w:rFonts w:hint="eastAsia"/>
        </w:rPr>
      </w:pPr>
    </w:p>
    <w:p w:rsidR="00A346D3" w:rsidRPr="00315CA0" w:rsidRDefault="00A175E2" w:rsidP="00315CA0">
      <w:pPr>
        <w:pStyle w:val="Untertitel"/>
        <w:rPr>
          <w:rFonts w:asciiTheme="minorHAnsi" w:hAnsiTheme="minorHAnsi" w:cstheme="minorHAnsi" w:hint="eastAsia"/>
          <w:i w:val="0"/>
          <w:iCs w:val="0"/>
        </w:rPr>
      </w:pPr>
      <w:proofErr w:type="spellStart"/>
      <w:r w:rsidRPr="00315CA0">
        <w:rPr>
          <w:rFonts w:asciiTheme="minorHAnsi" w:hAnsiTheme="minorHAnsi" w:cstheme="minorHAnsi"/>
          <w:i w:val="0"/>
          <w:iCs w:val="0"/>
        </w:rPr>
        <w:t>Markteilnehmener</w:t>
      </w:r>
      <w:proofErr w:type="spellEnd"/>
      <w:r w:rsidRPr="00315CA0">
        <w:rPr>
          <w:rFonts w:asciiTheme="minorHAnsi" w:hAnsiTheme="minorHAnsi" w:cstheme="minorHAnsi"/>
          <w:i w:val="0"/>
          <w:iCs w:val="0"/>
        </w:rPr>
        <w:t xml:space="preserve"> im deutschen Pharmamarkt schüren Ängste mit Buzz-Words wie „Digitale Transformation“ und lassen Apotheker mit Fragen zurück. </w:t>
      </w:r>
      <w:proofErr w:type="spellStart"/>
      <w:r w:rsidRPr="00315CA0">
        <w:rPr>
          <w:rFonts w:asciiTheme="minorHAnsi" w:hAnsiTheme="minorHAnsi" w:cstheme="minorHAnsi"/>
          <w:i w:val="0"/>
          <w:iCs w:val="0"/>
        </w:rPr>
        <w:t>Pharmaworx</w:t>
      </w:r>
      <w:proofErr w:type="spellEnd"/>
      <w:r w:rsidRPr="00315CA0">
        <w:rPr>
          <w:rFonts w:asciiTheme="minorHAnsi" w:hAnsiTheme="minorHAnsi" w:cstheme="minorHAnsi"/>
          <w:i w:val="0"/>
          <w:iCs w:val="0"/>
        </w:rPr>
        <w:t xml:space="preserve">® will mit dem PX </w:t>
      </w:r>
      <w:proofErr w:type="spellStart"/>
      <w:r w:rsidRPr="00315CA0">
        <w:rPr>
          <w:rFonts w:asciiTheme="minorHAnsi" w:hAnsiTheme="minorHAnsi" w:cstheme="minorHAnsi"/>
          <w:i w:val="0"/>
          <w:iCs w:val="0"/>
        </w:rPr>
        <w:t>reach</w:t>
      </w:r>
      <w:proofErr w:type="spellEnd"/>
      <w:r w:rsidRPr="00315CA0">
        <w:rPr>
          <w:rFonts w:asciiTheme="minorHAnsi" w:hAnsiTheme="minorHAnsi" w:cstheme="minorHAnsi"/>
          <w:i w:val="0"/>
          <w:iCs w:val="0"/>
        </w:rPr>
        <w:t xml:space="preserve">® </w:t>
      </w:r>
      <w:proofErr w:type="spellStart"/>
      <w:r w:rsidRPr="00315CA0">
        <w:rPr>
          <w:rFonts w:asciiTheme="minorHAnsi" w:hAnsiTheme="minorHAnsi" w:cstheme="minorHAnsi"/>
          <w:i w:val="0"/>
          <w:iCs w:val="0"/>
        </w:rPr>
        <w:t>Partnerprogamm</w:t>
      </w:r>
      <w:proofErr w:type="spellEnd"/>
      <w:r w:rsidRPr="00315CA0">
        <w:rPr>
          <w:rFonts w:asciiTheme="minorHAnsi" w:hAnsiTheme="minorHAnsi" w:cstheme="minorHAnsi"/>
          <w:i w:val="0"/>
          <w:iCs w:val="0"/>
        </w:rPr>
        <w:t xml:space="preserve"> eine nachhaltige Lösung bieten.</w:t>
      </w:r>
    </w:p>
    <w:p w:rsidR="00957FC3" w:rsidRPr="00A346D3" w:rsidRDefault="00A175E2">
      <w:pPr>
        <w:pStyle w:val="Textbody"/>
        <w:rPr>
          <w:rFonts w:asciiTheme="minorHAnsi" w:hAnsiTheme="minorHAnsi" w:cstheme="minorHAnsi"/>
        </w:rPr>
      </w:pPr>
      <w:r w:rsidRPr="00A346D3">
        <w:rPr>
          <w:rFonts w:asciiTheme="minorHAnsi" w:hAnsiTheme="minorHAnsi" w:cstheme="minorHAnsi"/>
        </w:rPr>
        <w:t>Im Hinblick auf die Entwicklung des Einzelhandels werden bei den Apothekern Ängste geschürt, dem digitalen Wandel nicht gewachsen zu sein. Die Diskussionen der Digitalisierung beziehen sich hierbei oftmals led</w:t>
      </w:r>
      <w:r w:rsidRPr="00A346D3">
        <w:rPr>
          <w:rFonts w:asciiTheme="minorHAnsi" w:hAnsiTheme="minorHAnsi" w:cstheme="minorHAnsi"/>
        </w:rPr>
        <w:t>iglich darauf, Verkaufsprozesse digital abzubilden.</w:t>
      </w:r>
    </w:p>
    <w:p w:rsidR="00957FC3" w:rsidRPr="00A346D3" w:rsidRDefault="00A175E2">
      <w:pPr>
        <w:pStyle w:val="Textbody"/>
        <w:rPr>
          <w:rFonts w:asciiTheme="minorHAnsi" w:hAnsiTheme="minorHAnsi" w:cstheme="minorHAnsi"/>
          <w:b/>
          <w:bCs/>
        </w:rPr>
      </w:pPr>
      <w:r w:rsidRPr="00A346D3">
        <w:rPr>
          <w:rFonts w:asciiTheme="minorHAnsi" w:hAnsiTheme="minorHAnsi" w:cstheme="minorHAnsi"/>
          <w:b/>
          <w:bCs/>
        </w:rPr>
        <w:t>„Wir sehen dies jedoch nicht als das hauptsächliche Ziel. Der Wunsch der Apotheker ist es doch, auch zukünftig die Kunden heilberuflich umfassend vor Ort zu beraten“</w:t>
      </w:r>
      <w:r w:rsidRPr="00A346D3">
        <w:rPr>
          <w:rFonts w:asciiTheme="minorHAnsi" w:hAnsiTheme="minorHAnsi" w:cstheme="minorHAnsi"/>
        </w:rPr>
        <w:t xml:space="preserve">, so Kai-Patrik Reimers von </w:t>
      </w:r>
      <w:proofErr w:type="spellStart"/>
      <w:r w:rsidRPr="00A346D3">
        <w:rPr>
          <w:rFonts w:asciiTheme="minorHAnsi" w:hAnsiTheme="minorHAnsi" w:cstheme="minorHAnsi"/>
        </w:rPr>
        <w:t>Pharmaworx</w:t>
      </w:r>
      <w:proofErr w:type="spellEnd"/>
      <w:r w:rsidRPr="00A346D3">
        <w:rPr>
          <w:rFonts w:asciiTheme="minorHAnsi" w:hAnsiTheme="minorHAnsi" w:cstheme="minorHAnsi"/>
        </w:rPr>
        <w:t>®,</w:t>
      </w:r>
      <w:r w:rsidRPr="00A346D3">
        <w:rPr>
          <w:rFonts w:asciiTheme="minorHAnsi" w:hAnsiTheme="minorHAnsi" w:cstheme="minorHAnsi"/>
          <w:b/>
          <w:bCs/>
        </w:rPr>
        <w:t xml:space="preserve"> „daher gilt es digitale Konzepte zu entwickeln, die den Verkauf nicht in den Online-Handel verlagern, sondern den Einzelhandel vor Ort nachhaltig stärken.“</w:t>
      </w:r>
    </w:p>
    <w:p w:rsidR="00957FC3" w:rsidRPr="00A346D3" w:rsidRDefault="00A175E2">
      <w:pPr>
        <w:pStyle w:val="Textbody"/>
        <w:rPr>
          <w:rFonts w:asciiTheme="minorHAnsi" w:hAnsiTheme="minorHAnsi" w:cstheme="minorHAnsi"/>
        </w:rPr>
      </w:pPr>
      <w:r w:rsidRPr="00A346D3">
        <w:rPr>
          <w:rFonts w:asciiTheme="minorHAnsi" w:hAnsiTheme="minorHAnsi" w:cstheme="minorHAnsi"/>
        </w:rPr>
        <w:t>Die Ausgangslage ist bereits sehr gut. „Same-Day-</w:t>
      </w:r>
      <w:proofErr w:type="spellStart"/>
      <w:r w:rsidRPr="00A346D3">
        <w:rPr>
          <w:rFonts w:asciiTheme="minorHAnsi" w:hAnsiTheme="minorHAnsi" w:cstheme="minorHAnsi"/>
        </w:rPr>
        <w:t>Delivery</w:t>
      </w:r>
      <w:proofErr w:type="spellEnd"/>
      <w:r w:rsidRPr="00A346D3">
        <w:rPr>
          <w:rFonts w:asciiTheme="minorHAnsi" w:hAnsiTheme="minorHAnsi" w:cstheme="minorHAnsi"/>
        </w:rPr>
        <w:t>“ oder auch „Prime“ ist in den Apotheke</w:t>
      </w:r>
      <w:r w:rsidRPr="00A346D3">
        <w:rPr>
          <w:rFonts w:asciiTheme="minorHAnsi" w:hAnsiTheme="minorHAnsi" w:cstheme="minorHAnsi"/>
        </w:rPr>
        <w:t>n seit den 1970er Jahren unter dem Begriff „Botendienst“ etabliert, ebenso ist die flächendeckende Verfügbarkeit nahezu aller relevanten Artikel innerhalb weniger Stunden durch die exzellenten Strukturen des pharmazeutischen Großhandels gewährleistet.</w:t>
      </w:r>
    </w:p>
    <w:p w:rsidR="00957FC3" w:rsidRPr="00A346D3" w:rsidRDefault="00A175E2">
      <w:pPr>
        <w:pStyle w:val="Textbody"/>
        <w:rPr>
          <w:rFonts w:asciiTheme="minorHAnsi" w:hAnsiTheme="minorHAnsi" w:cstheme="minorHAnsi"/>
          <w:b/>
          <w:bCs/>
        </w:rPr>
      </w:pPr>
      <w:r w:rsidRPr="00A346D3">
        <w:rPr>
          <w:rFonts w:asciiTheme="minorHAnsi" w:hAnsiTheme="minorHAnsi" w:cstheme="minorHAnsi"/>
          <w:b/>
          <w:bCs/>
        </w:rPr>
        <w:t xml:space="preserve">„Es </w:t>
      </w:r>
      <w:r w:rsidRPr="00A346D3">
        <w:rPr>
          <w:rFonts w:asciiTheme="minorHAnsi" w:hAnsiTheme="minorHAnsi" w:cstheme="minorHAnsi"/>
          <w:b/>
          <w:bCs/>
        </w:rPr>
        <w:t xml:space="preserve">fehlt die möglichst neutrale Schnittstelle, welche jeder Apotheke die Chance gibt, sich durch die Qualität als </w:t>
      </w:r>
      <w:proofErr w:type="spellStart"/>
      <w:r w:rsidRPr="00A346D3">
        <w:rPr>
          <w:rFonts w:asciiTheme="minorHAnsi" w:hAnsiTheme="minorHAnsi" w:cstheme="minorHAnsi"/>
          <w:b/>
          <w:bCs/>
        </w:rPr>
        <w:t>Heilberufler</w:t>
      </w:r>
      <w:proofErr w:type="spellEnd"/>
      <w:r w:rsidRPr="00A346D3">
        <w:rPr>
          <w:rFonts w:asciiTheme="minorHAnsi" w:hAnsiTheme="minorHAnsi" w:cstheme="minorHAnsi"/>
          <w:b/>
          <w:bCs/>
        </w:rPr>
        <w:t xml:space="preserve"> vor Ort und nicht allein über den Preis zu behaupten“</w:t>
      </w:r>
      <w:r w:rsidRPr="00A346D3">
        <w:rPr>
          <w:rFonts w:asciiTheme="minorHAnsi" w:hAnsiTheme="minorHAnsi" w:cstheme="minorHAnsi"/>
        </w:rPr>
        <w:t>, so Reimers.</w:t>
      </w:r>
    </w:p>
    <w:p w:rsidR="00315CA0" w:rsidRPr="00315CA0" w:rsidRDefault="00315CA0">
      <w:pPr>
        <w:pStyle w:val="berschrift2"/>
        <w:spacing w:before="125" w:after="62"/>
        <w:rPr>
          <w:rFonts w:asciiTheme="minorHAnsi" w:hAnsiTheme="minorHAnsi" w:cstheme="minorHAnsi"/>
          <w:i w:val="0"/>
          <w:iCs w:val="0"/>
          <w:sz w:val="24"/>
          <w:szCs w:val="24"/>
        </w:rPr>
      </w:pPr>
    </w:p>
    <w:p w:rsidR="00A346D3" w:rsidRDefault="00A175E2" w:rsidP="00315CA0">
      <w:pPr>
        <w:pStyle w:val="berschrift2"/>
        <w:spacing w:before="125" w:after="62"/>
        <w:rPr>
          <w:rFonts w:asciiTheme="minorHAnsi" w:hAnsiTheme="minorHAnsi" w:cstheme="minorHAnsi"/>
          <w:i w:val="0"/>
          <w:iCs w:val="0"/>
        </w:rPr>
      </w:pPr>
      <w:r w:rsidRPr="00315CA0">
        <w:rPr>
          <w:rFonts w:asciiTheme="minorHAnsi" w:hAnsiTheme="minorHAnsi" w:cstheme="minorHAnsi"/>
          <w:i w:val="0"/>
          <w:iCs w:val="0"/>
        </w:rPr>
        <w:t xml:space="preserve">Die Bayer Vital Consumer </w:t>
      </w:r>
      <w:proofErr w:type="spellStart"/>
      <w:r w:rsidRPr="00315CA0">
        <w:rPr>
          <w:rFonts w:asciiTheme="minorHAnsi" w:hAnsiTheme="minorHAnsi" w:cstheme="minorHAnsi"/>
          <w:i w:val="0"/>
          <w:iCs w:val="0"/>
        </w:rPr>
        <w:t>Health</w:t>
      </w:r>
      <w:proofErr w:type="spellEnd"/>
      <w:r w:rsidRPr="00315CA0">
        <w:rPr>
          <w:rFonts w:asciiTheme="minorHAnsi" w:hAnsiTheme="minorHAnsi" w:cstheme="minorHAnsi"/>
          <w:i w:val="0"/>
          <w:iCs w:val="0"/>
        </w:rPr>
        <w:t xml:space="preserve"> Division startet mit </w:t>
      </w:r>
      <w:r w:rsidRPr="00315CA0">
        <w:rPr>
          <w:rFonts w:asciiTheme="minorHAnsi" w:hAnsiTheme="minorHAnsi" w:cstheme="minorHAnsi"/>
          <w:i w:val="0"/>
          <w:iCs w:val="0"/>
        </w:rPr>
        <w:br/>
      </w:r>
      <w:r w:rsidRPr="00315CA0">
        <w:rPr>
          <w:rFonts w:asciiTheme="minorHAnsi" w:hAnsiTheme="minorHAnsi" w:cstheme="minorHAnsi"/>
          <w:i w:val="0"/>
          <w:iCs w:val="0"/>
        </w:rPr>
        <w:t xml:space="preserve">dem PX </w:t>
      </w:r>
      <w:proofErr w:type="spellStart"/>
      <w:r w:rsidRPr="00315CA0">
        <w:rPr>
          <w:rFonts w:asciiTheme="minorHAnsi" w:hAnsiTheme="minorHAnsi" w:cstheme="minorHAnsi"/>
          <w:i w:val="0"/>
          <w:iCs w:val="0"/>
        </w:rPr>
        <w:t>reac</w:t>
      </w:r>
      <w:r w:rsidRPr="00315CA0">
        <w:rPr>
          <w:rFonts w:asciiTheme="minorHAnsi" w:hAnsiTheme="minorHAnsi" w:cstheme="minorHAnsi"/>
          <w:i w:val="0"/>
          <w:iCs w:val="0"/>
        </w:rPr>
        <w:t>h</w:t>
      </w:r>
      <w:proofErr w:type="spellEnd"/>
      <w:r w:rsidRPr="00315CA0">
        <w:rPr>
          <w:rFonts w:asciiTheme="minorHAnsi" w:hAnsiTheme="minorHAnsi" w:cstheme="minorHAnsi"/>
          <w:i w:val="0"/>
          <w:iCs w:val="0"/>
        </w:rPr>
        <w:t>®-Partnerprogramm</w:t>
      </w:r>
    </w:p>
    <w:p w:rsidR="00315CA0" w:rsidRPr="00315CA0" w:rsidRDefault="00315CA0" w:rsidP="00315CA0">
      <w:pPr>
        <w:pStyle w:val="Untertitel"/>
        <w:rPr>
          <w:i w:val="0"/>
          <w:iCs w:val="0"/>
          <w:sz w:val="24"/>
          <w:szCs w:val="24"/>
        </w:rPr>
      </w:pPr>
    </w:p>
    <w:p w:rsidR="00957FC3" w:rsidRPr="00315CA0" w:rsidRDefault="00A175E2">
      <w:pPr>
        <w:pStyle w:val="Untertitel"/>
        <w:rPr>
          <w:rFonts w:asciiTheme="minorHAnsi" w:hAnsiTheme="minorHAnsi" w:cstheme="minorHAnsi"/>
          <w:i w:val="0"/>
          <w:iCs w:val="0"/>
        </w:rPr>
      </w:pPr>
      <w:r w:rsidRPr="00315CA0">
        <w:rPr>
          <w:rFonts w:asciiTheme="minorHAnsi" w:hAnsiTheme="minorHAnsi" w:cstheme="minorHAnsi"/>
          <w:i w:val="0"/>
          <w:iCs w:val="0"/>
        </w:rPr>
        <w:t xml:space="preserve">Als </w:t>
      </w:r>
      <w:proofErr w:type="spellStart"/>
      <w:r w:rsidRPr="00315CA0">
        <w:rPr>
          <w:rFonts w:asciiTheme="minorHAnsi" w:hAnsiTheme="minorHAnsi" w:cstheme="minorHAnsi"/>
          <w:i w:val="0"/>
          <w:iCs w:val="0"/>
        </w:rPr>
        <w:t>Multichannel</w:t>
      </w:r>
      <w:proofErr w:type="spellEnd"/>
      <w:r w:rsidRPr="00315CA0">
        <w:rPr>
          <w:rFonts w:asciiTheme="minorHAnsi" w:hAnsiTheme="minorHAnsi" w:cstheme="minorHAnsi"/>
          <w:i w:val="0"/>
          <w:iCs w:val="0"/>
        </w:rPr>
        <w:t xml:space="preserve">-Marketing-System ermöglicht PX </w:t>
      </w:r>
      <w:proofErr w:type="spellStart"/>
      <w:r w:rsidRPr="00315CA0">
        <w:rPr>
          <w:rFonts w:asciiTheme="minorHAnsi" w:hAnsiTheme="minorHAnsi" w:cstheme="minorHAnsi"/>
          <w:i w:val="0"/>
          <w:iCs w:val="0"/>
        </w:rPr>
        <w:t>reach</w:t>
      </w:r>
      <w:proofErr w:type="spellEnd"/>
      <w:r w:rsidRPr="00315CA0">
        <w:rPr>
          <w:rFonts w:asciiTheme="minorHAnsi" w:hAnsiTheme="minorHAnsi" w:cstheme="minorHAnsi"/>
          <w:i w:val="0"/>
          <w:iCs w:val="0"/>
        </w:rPr>
        <w:t>® verbindliche Artikel-Reservierungen aus allen Marketing-Kanälen der Hersteller in alle Apotheken Deutschlands.</w:t>
      </w:r>
    </w:p>
    <w:p w:rsidR="00957FC3" w:rsidRPr="00A346D3" w:rsidRDefault="00A175E2">
      <w:pPr>
        <w:pStyle w:val="Textbody"/>
        <w:rPr>
          <w:rFonts w:asciiTheme="minorHAnsi" w:hAnsiTheme="minorHAnsi" w:cstheme="minorHAnsi"/>
        </w:rPr>
      </w:pPr>
      <w:r w:rsidRPr="00A346D3">
        <w:rPr>
          <w:rFonts w:asciiTheme="minorHAnsi" w:hAnsiTheme="minorHAnsi" w:cstheme="minorHAnsi"/>
        </w:rPr>
        <w:t>Die häufige Antwort darauf, der Digitalisierung im Apothekenmarkt zu b</w:t>
      </w:r>
      <w:r w:rsidRPr="00A346D3">
        <w:rPr>
          <w:rFonts w:asciiTheme="minorHAnsi" w:hAnsiTheme="minorHAnsi" w:cstheme="minorHAnsi"/>
        </w:rPr>
        <w:t>egegnen, ist das Kopieren von Konzepten der großen Versender - Onlineshops für Apotheken. Hierbei übersteigt der Aufwand für eine Onlineshop-Infrastruktur und das notwendige Marketing oftmals die freien Ressourcen des Apotheken-Tagesgeschäfts. Auch dem her</w:t>
      </w:r>
      <w:r w:rsidRPr="00A346D3">
        <w:rPr>
          <w:rFonts w:asciiTheme="minorHAnsi" w:hAnsiTheme="minorHAnsi" w:cstheme="minorHAnsi"/>
        </w:rPr>
        <w:t>stellerseitigen Marketing (bspw. Werbe- und Digitalmarketing-Aktionen, Produktseiten der Hersteller, Print- und TV-Werbung) fehlt es zur Zeit an der verbindlichen Möglichkeit zum nachgelagerten Kauf vor Ort und das zu individuellen Preisen der einzelnen Ap</w:t>
      </w:r>
      <w:r w:rsidRPr="00A346D3">
        <w:rPr>
          <w:rFonts w:asciiTheme="minorHAnsi" w:hAnsiTheme="minorHAnsi" w:cstheme="minorHAnsi"/>
        </w:rPr>
        <w:t>otheke.</w:t>
      </w:r>
    </w:p>
    <w:p w:rsidR="00957FC3" w:rsidRPr="00A346D3" w:rsidRDefault="00A175E2">
      <w:pPr>
        <w:pStyle w:val="Textbody"/>
        <w:rPr>
          <w:rFonts w:asciiTheme="minorHAnsi" w:hAnsiTheme="minorHAnsi" w:cstheme="minorHAnsi"/>
        </w:rPr>
      </w:pPr>
      <w:r w:rsidRPr="00A346D3">
        <w:rPr>
          <w:rFonts w:asciiTheme="minorHAnsi" w:hAnsiTheme="minorHAnsi" w:cstheme="minorHAnsi"/>
        </w:rPr>
        <w:t xml:space="preserve">Die Gründer von </w:t>
      </w:r>
      <w:proofErr w:type="spellStart"/>
      <w:r w:rsidRPr="00A346D3">
        <w:rPr>
          <w:rFonts w:asciiTheme="minorHAnsi" w:hAnsiTheme="minorHAnsi" w:cstheme="minorHAnsi"/>
        </w:rPr>
        <w:t>Pharmaworx</w:t>
      </w:r>
      <w:proofErr w:type="spellEnd"/>
      <w:r w:rsidRPr="00A346D3">
        <w:rPr>
          <w:rFonts w:asciiTheme="minorHAnsi" w:hAnsiTheme="minorHAnsi" w:cstheme="minorHAnsi"/>
        </w:rPr>
        <w:t xml:space="preserve">®, Kai-Patrik Reimers und Lars Peter Wall, sind daher einen Schritt zurückgetreten, um eine neue Sicht auf den wirklichen Bedarf zu erhalten. </w:t>
      </w:r>
      <w:r w:rsidRPr="00A346D3">
        <w:rPr>
          <w:rFonts w:asciiTheme="minorHAnsi" w:hAnsiTheme="minorHAnsi" w:cstheme="minorHAnsi"/>
        </w:rPr>
        <w:br/>
      </w:r>
      <w:r w:rsidRPr="00A346D3">
        <w:rPr>
          <w:rFonts w:asciiTheme="minorHAnsi" w:hAnsiTheme="minorHAnsi" w:cstheme="minorHAnsi"/>
          <w:b/>
          <w:bCs/>
        </w:rPr>
        <w:t xml:space="preserve">„Die Struktur des deutschen Apothekenmarkts mit inhabergeführten Apotheken ist </w:t>
      </w:r>
      <w:r w:rsidRPr="00A346D3">
        <w:rPr>
          <w:rFonts w:asciiTheme="minorHAnsi" w:hAnsiTheme="minorHAnsi" w:cstheme="minorHAnsi"/>
          <w:b/>
          <w:bCs/>
        </w:rPr>
        <w:t>für Patienten von besonderem Nutzen. Der Gesundheitsmarkt gegenüber anderen Ländern ist bespiellos gut und in seiner Struktur schützenswert. Der Erhalt dieser Struktur sollte nicht davon abhängig sein, dass Apotheken bspw. Gesundheitsheftchen abnehmen oder</w:t>
      </w:r>
      <w:r w:rsidRPr="00A346D3">
        <w:rPr>
          <w:rFonts w:asciiTheme="minorHAnsi" w:hAnsiTheme="minorHAnsi" w:cstheme="minorHAnsi"/>
          <w:b/>
          <w:bCs/>
        </w:rPr>
        <w:t xml:space="preserve"> an Online-Portale Transaktionskosten abführen müssen.“</w:t>
      </w:r>
      <w:r w:rsidRPr="00A346D3">
        <w:rPr>
          <w:rFonts w:asciiTheme="minorHAnsi" w:hAnsiTheme="minorHAnsi" w:cstheme="minorHAnsi"/>
        </w:rPr>
        <w:t xml:space="preserve"> bemängelt Lars Peter Wall aktuelle Querfinanzierungsmodelle.</w:t>
      </w:r>
      <w:r w:rsidRPr="00A346D3">
        <w:rPr>
          <w:rFonts w:asciiTheme="minorHAnsi" w:hAnsiTheme="minorHAnsi" w:cstheme="minorHAnsi"/>
          <w:b/>
          <w:bCs/>
        </w:rPr>
        <w:t xml:space="preserve"> </w:t>
      </w:r>
      <w:r w:rsidRPr="00A346D3">
        <w:rPr>
          <w:rFonts w:asciiTheme="minorHAnsi" w:hAnsiTheme="minorHAnsi" w:cstheme="minorHAnsi"/>
        </w:rPr>
        <w:t>Dem Apotheker fiel auf, dass viele der bisherigen Ansätze, der finanziellen Übermacht der EU-Versender zu begegnen, nicht nachhaltig und ma</w:t>
      </w:r>
      <w:r w:rsidRPr="00A346D3">
        <w:rPr>
          <w:rFonts w:asciiTheme="minorHAnsi" w:hAnsiTheme="minorHAnsi" w:cstheme="minorHAnsi"/>
        </w:rPr>
        <w:t>nchmal sogar parasitär und unfair zu sein scheinen.</w:t>
      </w:r>
    </w:p>
    <w:p w:rsidR="00957FC3" w:rsidRPr="00A346D3" w:rsidRDefault="00A175E2">
      <w:pPr>
        <w:pStyle w:val="Textbody"/>
        <w:rPr>
          <w:rFonts w:asciiTheme="minorHAnsi" w:hAnsiTheme="minorHAnsi" w:cstheme="minorHAnsi"/>
        </w:rPr>
      </w:pPr>
      <w:r w:rsidRPr="00A346D3">
        <w:rPr>
          <w:rFonts w:asciiTheme="minorHAnsi" w:hAnsiTheme="minorHAnsi" w:cstheme="minorHAnsi"/>
        </w:rPr>
        <w:lastRenderedPageBreak/>
        <w:t xml:space="preserve">Mit PX </w:t>
      </w:r>
      <w:proofErr w:type="spellStart"/>
      <w:r w:rsidRPr="00A346D3">
        <w:rPr>
          <w:rFonts w:asciiTheme="minorHAnsi" w:hAnsiTheme="minorHAnsi" w:cstheme="minorHAnsi"/>
        </w:rPr>
        <w:t>reach</w:t>
      </w:r>
      <w:proofErr w:type="spellEnd"/>
      <w:r w:rsidRPr="00A346D3">
        <w:rPr>
          <w:rFonts w:asciiTheme="minorHAnsi" w:hAnsiTheme="minorHAnsi" w:cstheme="minorHAnsi"/>
        </w:rPr>
        <w:t>® wurde ein Partnerprogramm entwickelt, welches der Industrie ermöglicht, alle Apotheken Deutschlands an ihre Marketingmaßnahmen verbindlich anzuschließen – ohne die Pflege eines Online Shops</w:t>
      </w:r>
      <w:r w:rsidRPr="00A346D3">
        <w:rPr>
          <w:rFonts w:asciiTheme="minorHAnsi" w:hAnsiTheme="minorHAnsi" w:cstheme="minorHAnsi"/>
        </w:rPr>
        <w:t xml:space="preserve"> und ohne Kosten für die Apotheke.</w:t>
      </w:r>
    </w:p>
    <w:p w:rsidR="00957FC3" w:rsidRPr="00A346D3" w:rsidRDefault="00A175E2">
      <w:pPr>
        <w:pStyle w:val="Textbody"/>
        <w:rPr>
          <w:rFonts w:asciiTheme="minorHAnsi" w:hAnsiTheme="minorHAnsi" w:cstheme="minorHAnsi"/>
        </w:rPr>
      </w:pPr>
      <w:r w:rsidRPr="00A346D3">
        <w:rPr>
          <w:rFonts w:asciiTheme="minorHAnsi" w:hAnsiTheme="minorHAnsi" w:cstheme="minorHAnsi"/>
        </w:rPr>
        <w:t xml:space="preserve">Die Bayer Vital Consumer </w:t>
      </w:r>
      <w:proofErr w:type="spellStart"/>
      <w:r w:rsidRPr="00A346D3">
        <w:rPr>
          <w:rFonts w:asciiTheme="minorHAnsi" w:hAnsiTheme="minorHAnsi" w:cstheme="minorHAnsi"/>
        </w:rPr>
        <w:t>Health</w:t>
      </w:r>
      <w:proofErr w:type="spellEnd"/>
      <w:r w:rsidRPr="00A346D3">
        <w:rPr>
          <w:rFonts w:asciiTheme="minorHAnsi" w:hAnsiTheme="minorHAnsi" w:cstheme="minorHAnsi"/>
        </w:rPr>
        <w:t xml:space="preserve"> Division setzt zukünftig auf PX </w:t>
      </w:r>
      <w:proofErr w:type="spellStart"/>
      <w:r w:rsidRPr="00A346D3">
        <w:rPr>
          <w:rFonts w:asciiTheme="minorHAnsi" w:hAnsiTheme="minorHAnsi" w:cstheme="minorHAnsi"/>
        </w:rPr>
        <w:t>reach</w:t>
      </w:r>
      <w:proofErr w:type="spellEnd"/>
      <w:r w:rsidRPr="00A346D3">
        <w:rPr>
          <w:rFonts w:asciiTheme="minorHAnsi" w:hAnsiTheme="minorHAnsi" w:cstheme="minorHAnsi"/>
        </w:rPr>
        <w:t>® um verbindliche Artikel-Reservierungen in die Apotheke vor Ort zu leiten.</w:t>
      </w:r>
    </w:p>
    <w:p w:rsidR="00957FC3" w:rsidRPr="00A346D3" w:rsidRDefault="00A175E2">
      <w:pPr>
        <w:pStyle w:val="Textbody"/>
        <w:rPr>
          <w:rFonts w:asciiTheme="minorHAnsi" w:hAnsiTheme="minorHAnsi" w:cstheme="minorHAnsi"/>
        </w:rPr>
      </w:pPr>
      <w:r w:rsidRPr="00A346D3">
        <w:rPr>
          <w:rFonts w:asciiTheme="minorHAnsi" w:hAnsiTheme="minorHAnsi" w:cstheme="minorHAnsi"/>
          <w:b/>
          <w:bCs/>
        </w:rPr>
        <w:t>„Wir als Bayer setzten uns aktiv für den Erhalt der stationären Apotheke ei</w:t>
      </w:r>
      <w:r w:rsidRPr="00A346D3">
        <w:rPr>
          <w:rFonts w:asciiTheme="minorHAnsi" w:hAnsiTheme="minorHAnsi" w:cstheme="minorHAnsi"/>
          <w:b/>
          <w:bCs/>
        </w:rPr>
        <w:t>n. Aus diesem Grund ist es uns wichtig, der stationären Apotheke die gleichen digitalen Möglichkeiten auf unseren Webseiten - adäquat des Onlinehandels- zu bieten. Damit stellen wir sicher, dass der Kunde sich für seine Apotheke vor Ort entscheiden kann. F</w:t>
      </w:r>
      <w:r w:rsidRPr="00A346D3">
        <w:rPr>
          <w:rFonts w:asciiTheme="minorHAnsi" w:hAnsiTheme="minorHAnsi" w:cstheme="minorHAnsi"/>
          <w:b/>
          <w:bCs/>
        </w:rPr>
        <w:t>ür die Apotheke ist das die Möglichkeit, neue Kunden zu gewinnen und durch die stationären Vorteile, wie professionelle Beratung vor Ort, an sich zu binden. Daher steht für uns bei dem PX-</w:t>
      </w:r>
      <w:proofErr w:type="spellStart"/>
      <w:r w:rsidRPr="00A346D3">
        <w:rPr>
          <w:rFonts w:asciiTheme="minorHAnsi" w:hAnsiTheme="minorHAnsi" w:cstheme="minorHAnsi"/>
          <w:b/>
          <w:bCs/>
        </w:rPr>
        <w:t>reach</w:t>
      </w:r>
      <w:proofErr w:type="spellEnd"/>
      <w:r w:rsidRPr="00A346D3">
        <w:rPr>
          <w:rFonts w:asciiTheme="minorHAnsi" w:hAnsiTheme="minorHAnsi" w:cstheme="minorHAnsi"/>
          <w:b/>
          <w:bCs/>
        </w:rPr>
        <w:t>-Partnerprogramm der Kundenservice und der Erhalt der stationär</w:t>
      </w:r>
      <w:r w:rsidRPr="00A346D3">
        <w:rPr>
          <w:rFonts w:asciiTheme="minorHAnsi" w:hAnsiTheme="minorHAnsi" w:cstheme="minorHAnsi"/>
          <w:b/>
          <w:bCs/>
        </w:rPr>
        <w:t>en Apotheke im Fokus.“</w:t>
      </w:r>
      <w:r w:rsidRPr="00A346D3">
        <w:rPr>
          <w:rFonts w:asciiTheme="minorHAnsi" w:hAnsiTheme="minorHAnsi" w:cstheme="minorHAnsi"/>
        </w:rPr>
        <w:t>, so</w:t>
      </w:r>
      <w:r w:rsidRPr="00A346D3">
        <w:rPr>
          <w:rFonts w:asciiTheme="minorHAnsi" w:hAnsiTheme="minorHAnsi" w:cstheme="minorHAnsi"/>
          <w:szCs w:val="20"/>
        </w:rPr>
        <w:t xml:space="preserve"> Thorsten </w:t>
      </w:r>
      <w:proofErr w:type="spellStart"/>
      <w:r w:rsidRPr="00A346D3">
        <w:rPr>
          <w:rFonts w:asciiTheme="minorHAnsi" w:hAnsiTheme="minorHAnsi" w:cstheme="minorHAnsi"/>
          <w:szCs w:val="20"/>
        </w:rPr>
        <w:t>Kujath</w:t>
      </w:r>
      <w:proofErr w:type="spellEnd"/>
      <w:r w:rsidRPr="00A346D3">
        <w:rPr>
          <w:rFonts w:asciiTheme="minorHAnsi" w:hAnsiTheme="minorHAnsi" w:cstheme="minorHAnsi"/>
          <w:szCs w:val="20"/>
        </w:rPr>
        <w:t xml:space="preserve">, Vertriebsleiter der Bayer Vital Consumer </w:t>
      </w:r>
      <w:proofErr w:type="spellStart"/>
      <w:r w:rsidRPr="00A346D3">
        <w:rPr>
          <w:rFonts w:asciiTheme="minorHAnsi" w:hAnsiTheme="minorHAnsi" w:cstheme="minorHAnsi"/>
          <w:szCs w:val="20"/>
        </w:rPr>
        <w:t>Health</w:t>
      </w:r>
      <w:proofErr w:type="spellEnd"/>
      <w:r w:rsidRPr="00A346D3">
        <w:rPr>
          <w:rFonts w:asciiTheme="minorHAnsi" w:hAnsiTheme="minorHAnsi" w:cstheme="minorHAnsi"/>
          <w:szCs w:val="20"/>
        </w:rPr>
        <w:t xml:space="preserve"> Division.</w:t>
      </w:r>
    </w:p>
    <w:p w:rsidR="00957FC3" w:rsidRPr="00A346D3" w:rsidRDefault="00A175E2">
      <w:pPr>
        <w:pStyle w:val="Textbody"/>
        <w:rPr>
          <w:rFonts w:asciiTheme="minorHAnsi" w:hAnsiTheme="minorHAnsi" w:cstheme="minorHAnsi"/>
        </w:rPr>
      </w:pPr>
      <w:r w:rsidRPr="00A346D3">
        <w:rPr>
          <w:rFonts w:asciiTheme="minorHAnsi" w:hAnsiTheme="minorHAnsi" w:cstheme="minorHAnsi"/>
        </w:rPr>
        <w:t xml:space="preserve">PX </w:t>
      </w:r>
      <w:proofErr w:type="spellStart"/>
      <w:r w:rsidRPr="00A346D3">
        <w:rPr>
          <w:rFonts w:asciiTheme="minorHAnsi" w:hAnsiTheme="minorHAnsi" w:cstheme="minorHAnsi"/>
        </w:rPr>
        <w:t>reach</w:t>
      </w:r>
      <w:proofErr w:type="spellEnd"/>
      <w:r w:rsidRPr="00A346D3">
        <w:rPr>
          <w:rFonts w:asciiTheme="minorHAnsi" w:hAnsiTheme="minorHAnsi" w:cstheme="minorHAnsi"/>
        </w:rPr>
        <w:t>® will der Marketing-Game-</w:t>
      </w:r>
      <w:proofErr w:type="spellStart"/>
      <w:r w:rsidRPr="00A346D3">
        <w:rPr>
          <w:rFonts w:asciiTheme="minorHAnsi" w:hAnsiTheme="minorHAnsi" w:cstheme="minorHAnsi"/>
        </w:rPr>
        <w:t>Changer</w:t>
      </w:r>
      <w:proofErr w:type="spellEnd"/>
      <w:r w:rsidRPr="00A346D3">
        <w:rPr>
          <w:rFonts w:asciiTheme="minorHAnsi" w:hAnsiTheme="minorHAnsi" w:cstheme="minorHAnsi"/>
        </w:rPr>
        <w:t xml:space="preserve"> im OTC-Markt sein - die fehlende Schnittstelle, damit nicht wie bisher nur die wenigen großen Versender von den </w:t>
      </w:r>
      <w:r w:rsidRPr="00A346D3">
        <w:rPr>
          <w:rFonts w:asciiTheme="minorHAnsi" w:hAnsiTheme="minorHAnsi" w:cstheme="minorHAnsi"/>
        </w:rPr>
        <w:t>Marketingmaßnahmen der Hersteller profitieren. Die Bestellungen sollen dort ankommen, wo das Markenvertrauen der beworbenen Artikel durch hervorragende Beratung in besonderer Weise aufgebaut wird – in den Apotheken vor Ort – und zwar in allen, die an diese</w:t>
      </w:r>
      <w:r w:rsidRPr="00A346D3">
        <w:rPr>
          <w:rFonts w:asciiTheme="minorHAnsi" w:hAnsiTheme="minorHAnsi" w:cstheme="minorHAnsi"/>
        </w:rPr>
        <w:t>m für Apotheken kostenlosen Partnerprogramm teilnehmen möchten!</w:t>
      </w:r>
    </w:p>
    <w:p w:rsidR="00957FC3" w:rsidRPr="00A346D3" w:rsidRDefault="00957FC3">
      <w:pPr>
        <w:pStyle w:val="Textbody"/>
        <w:rPr>
          <w:rFonts w:asciiTheme="minorHAnsi" w:hAnsiTheme="minorHAnsi" w:cstheme="minorHAnsi"/>
        </w:rPr>
      </w:pPr>
    </w:p>
    <w:tbl>
      <w:tblPr>
        <w:tblW w:w="9468" w:type="dxa"/>
        <w:tblLayout w:type="fixed"/>
        <w:tblCellMar>
          <w:left w:w="10" w:type="dxa"/>
          <w:right w:w="10" w:type="dxa"/>
        </w:tblCellMar>
        <w:tblLook w:val="0000" w:firstRow="0" w:lastRow="0" w:firstColumn="0" w:lastColumn="0" w:noHBand="0" w:noVBand="0"/>
      </w:tblPr>
      <w:tblGrid>
        <w:gridCol w:w="9468"/>
      </w:tblGrid>
      <w:tr w:rsidR="00957FC3" w:rsidRPr="00A346D3">
        <w:tblPrEx>
          <w:tblCellMar>
            <w:top w:w="0" w:type="dxa"/>
            <w:bottom w:w="0" w:type="dxa"/>
          </w:tblCellMar>
        </w:tblPrEx>
        <w:tc>
          <w:tcPr>
            <w:tcW w:w="9468" w:type="dxa"/>
            <w:tcBorders>
              <w:top w:val="single" w:sz="2" w:space="0" w:color="000000"/>
              <w:left w:val="single" w:sz="2" w:space="0" w:color="000000"/>
              <w:bottom w:val="single" w:sz="2" w:space="0" w:color="000000"/>
              <w:right w:val="single" w:sz="2" w:space="0" w:color="000000"/>
            </w:tcBorders>
            <w:tcMar>
              <w:top w:w="283" w:type="dxa"/>
              <w:left w:w="283" w:type="dxa"/>
              <w:bottom w:w="283" w:type="dxa"/>
              <w:right w:w="283" w:type="dxa"/>
            </w:tcMar>
          </w:tcPr>
          <w:p w:rsidR="00957FC3" w:rsidRPr="00A346D3" w:rsidRDefault="00A175E2">
            <w:pPr>
              <w:pStyle w:val="berschrift2"/>
              <w:spacing w:before="0" w:after="0"/>
              <w:rPr>
                <w:rFonts w:asciiTheme="minorHAnsi" w:hAnsiTheme="minorHAnsi" w:cstheme="minorHAnsi"/>
              </w:rPr>
            </w:pPr>
            <w:r w:rsidRPr="00A346D3">
              <w:rPr>
                <w:rFonts w:asciiTheme="minorHAnsi" w:hAnsiTheme="minorHAnsi" w:cstheme="minorHAnsi"/>
              </w:rPr>
              <w:t xml:space="preserve">Über </w:t>
            </w:r>
            <w:proofErr w:type="spellStart"/>
            <w:r w:rsidRPr="00A346D3">
              <w:rPr>
                <w:rFonts w:asciiTheme="minorHAnsi" w:hAnsiTheme="minorHAnsi" w:cstheme="minorHAnsi"/>
              </w:rPr>
              <w:t>Pharmaworx</w:t>
            </w:r>
            <w:proofErr w:type="spellEnd"/>
            <w:r w:rsidRPr="00A346D3">
              <w:rPr>
                <w:rFonts w:asciiTheme="minorHAnsi" w:hAnsiTheme="minorHAnsi" w:cstheme="minorHAnsi"/>
              </w:rPr>
              <w:t>®</w:t>
            </w:r>
          </w:p>
          <w:p w:rsidR="00957FC3" w:rsidRPr="00A346D3" w:rsidRDefault="00A175E2">
            <w:pPr>
              <w:pStyle w:val="Textbody"/>
              <w:spacing w:after="0"/>
              <w:rPr>
                <w:rFonts w:asciiTheme="minorHAnsi" w:hAnsiTheme="minorHAnsi" w:cstheme="minorHAnsi"/>
              </w:rPr>
            </w:pPr>
            <w:r w:rsidRPr="00A346D3">
              <w:rPr>
                <w:rFonts w:asciiTheme="minorHAnsi" w:hAnsiTheme="minorHAnsi" w:cstheme="minorHAnsi"/>
              </w:rPr>
              <w:t xml:space="preserve">Die </w:t>
            </w:r>
            <w:proofErr w:type="spellStart"/>
            <w:r w:rsidRPr="00A346D3">
              <w:rPr>
                <w:rFonts w:asciiTheme="minorHAnsi" w:hAnsiTheme="minorHAnsi" w:cstheme="minorHAnsi"/>
              </w:rPr>
              <w:t>Pharmaworx</w:t>
            </w:r>
            <w:proofErr w:type="spellEnd"/>
            <w:r w:rsidRPr="00A346D3">
              <w:rPr>
                <w:rFonts w:asciiTheme="minorHAnsi" w:hAnsiTheme="minorHAnsi" w:cstheme="minorHAnsi"/>
              </w:rPr>
              <w:t xml:space="preserve"> GmbH wurde im Dezember 2018 von Kai Patrik Reimers und Lars Peter Wall gegründet, um den Gesundheitsmarkt in Deutschland mit sinnvollen und </w:t>
            </w:r>
            <w:r w:rsidRPr="00A346D3">
              <w:rPr>
                <w:rFonts w:asciiTheme="minorHAnsi" w:hAnsiTheme="minorHAnsi" w:cstheme="minorHAnsi"/>
              </w:rPr>
              <w:t xml:space="preserve">nützlichen Innovationen in seiner Struktur zu erhalten, zu stärken und zu fördern. </w:t>
            </w:r>
            <w:r w:rsidRPr="00A346D3">
              <w:rPr>
                <w:rFonts w:asciiTheme="minorHAnsi" w:hAnsiTheme="minorHAnsi" w:cstheme="minorHAnsi"/>
              </w:rPr>
              <w:br/>
            </w:r>
            <w:r w:rsidRPr="00A346D3">
              <w:rPr>
                <w:rFonts w:asciiTheme="minorHAnsi" w:hAnsiTheme="minorHAnsi" w:cstheme="minorHAnsi"/>
              </w:rPr>
              <w:t xml:space="preserve">Zu diesem Zweck hat die </w:t>
            </w:r>
            <w:proofErr w:type="spellStart"/>
            <w:r w:rsidRPr="00A346D3">
              <w:rPr>
                <w:rFonts w:asciiTheme="minorHAnsi" w:hAnsiTheme="minorHAnsi" w:cstheme="minorHAnsi"/>
              </w:rPr>
              <w:t>Pharmworx</w:t>
            </w:r>
            <w:proofErr w:type="spellEnd"/>
            <w:r w:rsidRPr="00A346D3">
              <w:rPr>
                <w:rFonts w:asciiTheme="minorHAnsi" w:hAnsiTheme="minorHAnsi" w:cstheme="minorHAnsi"/>
              </w:rPr>
              <w:t xml:space="preserve"> GmbH als ersten Baustein das PX </w:t>
            </w:r>
            <w:proofErr w:type="spellStart"/>
            <w:r w:rsidRPr="00A346D3">
              <w:rPr>
                <w:rFonts w:asciiTheme="minorHAnsi" w:hAnsiTheme="minorHAnsi" w:cstheme="minorHAnsi"/>
              </w:rPr>
              <w:t>reach</w:t>
            </w:r>
            <w:proofErr w:type="spellEnd"/>
            <w:r w:rsidRPr="00A346D3">
              <w:rPr>
                <w:rFonts w:asciiTheme="minorHAnsi" w:hAnsiTheme="minorHAnsi" w:cstheme="minorHAnsi"/>
              </w:rPr>
              <w:t xml:space="preserve"> Partnerprogramm als Angebot der Pharmaindustrie für Apotheken entwickelt. Hierbei handelt es sich um</w:t>
            </w:r>
            <w:r w:rsidRPr="00A346D3">
              <w:rPr>
                <w:rFonts w:asciiTheme="minorHAnsi" w:hAnsiTheme="minorHAnsi" w:cstheme="minorHAnsi"/>
              </w:rPr>
              <w:t xml:space="preserve"> ein Gesamtprogramm aus Partnerkonzept, </w:t>
            </w:r>
            <w:proofErr w:type="spellStart"/>
            <w:r w:rsidRPr="00A346D3">
              <w:rPr>
                <w:rFonts w:asciiTheme="minorHAnsi" w:hAnsiTheme="minorHAnsi" w:cstheme="minorHAnsi"/>
              </w:rPr>
              <w:t>Multichannel</w:t>
            </w:r>
            <w:proofErr w:type="spellEnd"/>
            <w:r w:rsidRPr="00A346D3">
              <w:rPr>
                <w:rFonts w:asciiTheme="minorHAnsi" w:hAnsiTheme="minorHAnsi" w:cstheme="minorHAnsi"/>
              </w:rPr>
              <w:t xml:space="preserve">-Marketingmaßnahmen der Hersteller mit direkter digitaler Reservierungs-Möglichkeit in den Apotheken vor Ort. </w:t>
            </w:r>
            <w:proofErr w:type="spellStart"/>
            <w:r w:rsidRPr="00A346D3">
              <w:rPr>
                <w:rFonts w:asciiTheme="minorHAnsi" w:hAnsiTheme="minorHAnsi" w:cstheme="minorHAnsi"/>
              </w:rPr>
              <w:t>Pharmaworx</w:t>
            </w:r>
            <w:proofErr w:type="spellEnd"/>
            <w:r w:rsidRPr="00A346D3">
              <w:rPr>
                <w:rFonts w:asciiTheme="minorHAnsi" w:hAnsiTheme="minorHAnsi" w:cstheme="minorHAnsi"/>
              </w:rPr>
              <w:t>® entwickelt hierbei Marketing-</w:t>
            </w:r>
            <w:proofErr w:type="spellStart"/>
            <w:r w:rsidRPr="00A346D3">
              <w:rPr>
                <w:rFonts w:asciiTheme="minorHAnsi" w:hAnsiTheme="minorHAnsi" w:cstheme="minorHAnsi"/>
              </w:rPr>
              <w:t>Funnel</w:t>
            </w:r>
            <w:proofErr w:type="spellEnd"/>
            <w:r w:rsidRPr="00A346D3">
              <w:rPr>
                <w:rFonts w:asciiTheme="minorHAnsi" w:hAnsiTheme="minorHAnsi" w:cstheme="minorHAnsi"/>
              </w:rPr>
              <w:t>, liefert umfassende Analysen der vollständigen</w:t>
            </w:r>
            <w:r w:rsidRPr="00A346D3">
              <w:rPr>
                <w:rFonts w:asciiTheme="minorHAnsi" w:hAnsiTheme="minorHAnsi" w:cstheme="minorHAnsi"/>
              </w:rPr>
              <w:t xml:space="preserve"> Customer-Journey und hilft den Herstellern, deren Marketing-Maßnahmen zielgruppenspezifisch zu optimieren.</w:t>
            </w:r>
          </w:p>
        </w:tc>
      </w:tr>
    </w:tbl>
    <w:p w:rsidR="00957FC3" w:rsidRPr="00A346D3" w:rsidRDefault="00957FC3">
      <w:pPr>
        <w:pStyle w:val="Textbody"/>
        <w:rPr>
          <w:rFonts w:asciiTheme="minorHAnsi" w:hAnsiTheme="minorHAnsi" w:cstheme="minorHAnsi"/>
        </w:rPr>
      </w:pPr>
    </w:p>
    <w:p w:rsidR="00957FC3" w:rsidRPr="00A346D3" w:rsidRDefault="00A175E2">
      <w:pPr>
        <w:pStyle w:val="berschrift2"/>
        <w:rPr>
          <w:rFonts w:asciiTheme="minorHAnsi" w:hAnsiTheme="minorHAnsi" w:cstheme="minorHAnsi"/>
        </w:rPr>
      </w:pPr>
      <w:r w:rsidRPr="00A346D3">
        <w:rPr>
          <w:rFonts w:asciiTheme="minorHAnsi" w:hAnsiTheme="minorHAnsi" w:cstheme="minorHAnsi"/>
        </w:rPr>
        <w:t>Ansprechpartner</w:t>
      </w:r>
    </w:p>
    <w:p w:rsidR="00957FC3" w:rsidRPr="00A346D3" w:rsidRDefault="00A175E2">
      <w:pPr>
        <w:pStyle w:val="Textbody"/>
        <w:rPr>
          <w:rFonts w:asciiTheme="minorHAnsi" w:hAnsiTheme="minorHAnsi" w:cstheme="minorHAnsi"/>
          <w:b/>
          <w:bCs/>
        </w:rPr>
      </w:pPr>
      <w:r w:rsidRPr="00A346D3">
        <w:rPr>
          <w:rFonts w:asciiTheme="minorHAnsi" w:hAnsiTheme="minorHAnsi" w:cstheme="minorHAnsi"/>
          <w:b/>
          <w:bCs/>
        </w:rPr>
        <w:t>Kai-Patrik Reimers, reimers@pharmaworx.de</w:t>
      </w:r>
    </w:p>
    <w:p w:rsidR="00957FC3" w:rsidRPr="00A346D3" w:rsidRDefault="00A175E2">
      <w:pPr>
        <w:pStyle w:val="Textbody"/>
        <w:rPr>
          <w:rFonts w:asciiTheme="minorHAnsi" w:hAnsiTheme="minorHAnsi" w:cstheme="minorHAnsi"/>
          <w:b/>
          <w:bCs/>
          <w:lang w:val="en-US"/>
        </w:rPr>
      </w:pPr>
      <w:r w:rsidRPr="00A346D3">
        <w:rPr>
          <w:rFonts w:asciiTheme="minorHAnsi" w:hAnsiTheme="minorHAnsi" w:cstheme="minorHAnsi"/>
          <w:b/>
          <w:bCs/>
          <w:lang w:val="en-US"/>
        </w:rPr>
        <w:t>Lars Peter Wall, wall@pharmaworx.de</w:t>
      </w:r>
    </w:p>
    <w:p w:rsidR="00957FC3" w:rsidRPr="003640B9" w:rsidRDefault="00A175E2">
      <w:pPr>
        <w:pStyle w:val="Textbody"/>
        <w:rPr>
          <w:rFonts w:asciiTheme="minorHAnsi" w:hAnsiTheme="minorHAnsi" w:cstheme="minorHAnsi"/>
          <w:b/>
          <w:bCs/>
        </w:rPr>
      </w:pPr>
      <w:r w:rsidRPr="003640B9">
        <w:rPr>
          <w:rFonts w:asciiTheme="minorHAnsi" w:hAnsiTheme="minorHAnsi" w:cstheme="minorHAnsi"/>
          <w:b/>
          <w:bCs/>
        </w:rPr>
        <w:t>T</w:t>
      </w:r>
      <w:r w:rsidRPr="003640B9">
        <w:rPr>
          <w:rFonts w:asciiTheme="minorHAnsi" w:hAnsiTheme="minorHAnsi" w:cstheme="minorHAnsi"/>
          <w:b/>
          <w:bCs/>
        </w:rPr>
        <w:t xml:space="preserve"> +49 4321 - 20 6 95 -0</w:t>
      </w:r>
    </w:p>
    <w:p w:rsidR="003640B9" w:rsidRPr="003640B9" w:rsidRDefault="003640B9">
      <w:pPr>
        <w:pStyle w:val="Textbody"/>
        <w:rPr>
          <w:rFonts w:asciiTheme="minorHAnsi" w:hAnsiTheme="minorHAnsi" w:cstheme="minorHAnsi"/>
          <w:b/>
          <w:bCs/>
        </w:rPr>
      </w:pPr>
      <w:r w:rsidRPr="003640B9">
        <w:rPr>
          <w:rFonts w:asciiTheme="minorHAnsi" w:hAnsiTheme="minorHAnsi" w:cstheme="minorHAnsi"/>
          <w:b/>
          <w:bCs/>
        </w:rPr>
        <w:t>www.pharmaworx.de</w:t>
      </w:r>
      <w:bookmarkStart w:id="0" w:name="_GoBack"/>
      <w:bookmarkEnd w:id="0"/>
    </w:p>
    <w:sectPr w:rsidR="003640B9" w:rsidRPr="003640B9">
      <w:headerReference w:type="default" r:id="rId6"/>
      <w:footerReference w:type="default" r:id="rId7"/>
      <w:pgSz w:w="11906" w:h="16838"/>
      <w:pgMar w:top="2835" w:right="73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5E2" w:rsidRDefault="00A175E2">
      <w:pPr>
        <w:rPr>
          <w:rFonts w:hint="eastAsia"/>
        </w:rPr>
      </w:pPr>
      <w:r>
        <w:separator/>
      </w:r>
    </w:p>
  </w:endnote>
  <w:endnote w:type="continuationSeparator" w:id="0">
    <w:p w:rsidR="00A175E2" w:rsidRDefault="00A175E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tegra Sans Regular">
    <w:altName w:val="Artegra Sans"/>
    <w:panose1 w:val="020B0604020202020204"/>
    <w:charset w:val="00"/>
    <w:family w:val="modern"/>
    <w:pitch w:val="variable"/>
  </w:font>
  <w:font w:name="Artegra Sans Bold">
    <w:altName w:val="Artegra Sans"/>
    <w:panose1 w:val="020B0604020202020204"/>
    <w:charset w:val="00"/>
    <w:family w:val="modern"/>
    <w:pitch w:val="variable"/>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6F0" w:rsidRDefault="00A175E2">
    <w:pPr>
      <w:pStyle w:val="Fuzeile"/>
      <w:rPr>
        <w:rFonts w:hint="eastAsia"/>
      </w:rPr>
    </w:pPr>
    <w:r>
      <w:t xml:space="preserve"> </w:t>
    </w:r>
    <w:proofErr w:type="spellStart"/>
    <w:r>
      <w:t>Pharmaworx</w:t>
    </w:r>
    <w:proofErr w:type="spellEnd"/>
    <w:r>
      <w:t xml:space="preserve"> GmbH | Seite </w:t>
    </w:r>
    <w:r>
      <w:fldChar w:fldCharType="begin"/>
    </w:r>
    <w:r>
      <w:instrText xml:space="preserve"> PAGE </w:instrText>
    </w:r>
    <w:r>
      <w:rPr>
        <w:rFonts w:hint="eastAsia"/>
      </w:rPr>
      <w:fldChar w:fldCharType="separate"/>
    </w:r>
    <w:r>
      <w:t>2</w:t>
    </w:r>
    <w:r>
      <w:fldChar w:fldCharType="end"/>
    </w:r>
    <w:r>
      <w:t xml:space="preserve"> von </w:t>
    </w:r>
    <w:r>
      <w:fldChar w:fldCharType="begin"/>
    </w:r>
    <w:r>
      <w:instrText xml:space="preserve"> NUMPAGES </w:instrText>
    </w:r>
    <w:r>
      <w:rPr>
        <w:rFonts w:hint="eastAsia"/>
      </w:rP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5E2" w:rsidRDefault="00A175E2">
      <w:pPr>
        <w:rPr>
          <w:rFonts w:hint="eastAsia"/>
        </w:rPr>
      </w:pPr>
      <w:r>
        <w:rPr>
          <w:color w:val="000000"/>
        </w:rPr>
        <w:separator/>
      </w:r>
    </w:p>
  </w:footnote>
  <w:footnote w:type="continuationSeparator" w:id="0">
    <w:p w:rsidR="00A175E2" w:rsidRDefault="00A175E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6F0" w:rsidRDefault="00A175E2">
    <w:pPr>
      <w:pStyle w:val="Fuzeile"/>
      <w:rPr>
        <w:rFonts w:hint="eastAsia"/>
      </w:rPr>
    </w:pPr>
    <w:r>
      <w:t>Pressemitteilung - September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57FC3"/>
    <w:rsid w:val="00315CA0"/>
    <w:rsid w:val="003640B9"/>
    <w:rsid w:val="00957FC3"/>
    <w:rsid w:val="00A175E2"/>
    <w:rsid w:val="00A34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E1A3A17"/>
  <w15:docId w15:val="{5BC652CD-55C8-624B-BFCD-ECAA67D2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tegra Sans Regular" w:hAnsi="Artegra Sans Regular"/>
      <w:sz w:val="20"/>
    </w:rPr>
  </w:style>
  <w:style w:type="paragraph" w:styleId="berschrift1">
    <w:name w:val="heading 1"/>
    <w:basedOn w:val="Heading"/>
    <w:next w:val="Textbody"/>
    <w:uiPriority w:val="9"/>
    <w:qFormat/>
    <w:pPr>
      <w:outlineLvl w:val="0"/>
    </w:pPr>
    <w:rPr>
      <w:bCs/>
    </w:rPr>
  </w:style>
  <w:style w:type="paragraph" w:styleId="berschrift2">
    <w:name w:val="heading 2"/>
    <w:basedOn w:val="Heading"/>
    <w:next w:val="Untertitel"/>
    <w:uiPriority w:val="9"/>
    <w:unhideWhenUsed/>
    <w:qFormat/>
    <w:pPr>
      <w:outlineLvl w:val="1"/>
    </w:pPr>
    <w:rPr>
      <w:bCs/>
      <w:i/>
      <w:iCs/>
    </w:rPr>
  </w:style>
  <w:style w:type="paragraph" w:styleId="berschrift3">
    <w:name w:val="heading 3"/>
    <w:basedOn w:val="Heading"/>
    <w:next w:val="Untertitel"/>
    <w:uiPriority w:val="9"/>
    <w:semiHidden/>
    <w:unhideWhenUsed/>
    <w:qFormat/>
    <w:pPr>
      <w:outlineLvl w:val="2"/>
    </w:pPr>
    <w:rPr>
      <w:bCs/>
    </w:rPr>
  </w:style>
  <w:style w:type="paragraph" w:styleId="berschrift4">
    <w:name w:val="heading 4"/>
    <w:basedOn w:val="Heading"/>
    <w:next w:val="Textbody"/>
    <w:uiPriority w:val="9"/>
    <w:semiHidden/>
    <w:unhideWhenUsed/>
    <w:qFormat/>
    <w:pPr>
      <w:outlineLvl w:val="3"/>
    </w:pPr>
    <w:rPr>
      <w:bCs/>
      <w:i/>
      <w:iCs/>
    </w:rPr>
  </w:style>
  <w:style w:type="paragraph" w:styleId="berschrift5">
    <w:name w:val="heading 5"/>
    <w:basedOn w:val="Heading"/>
    <w:next w:val="Textbody"/>
    <w:uiPriority w:val="9"/>
    <w:semiHidden/>
    <w:unhideWhenUsed/>
    <w:qFormat/>
    <w:pPr>
      <w:outlineLvl w:val="4"/>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tegra Sans Bold" w:eastAsia="Microsoft YaHei" w:hAnsi="Artegra Sans Bold"/>
      <w:b/>
      <w:color w:val="666666"/>
      <w:sz w:val="28"/>
      <w:szCs w:val="28"/>
    </w:rPr>
  </w:style>
  <w:style w:type="paragraph" w:customStyle="1" w:styleId="Textbody">
    <w:name w:val="Text body"/>
    <w:basedOn w:val="Standard"/>
    <w:pPr>
      <w:spacing w:after="142"/>
    </w:pPr>
  </w:style>
  <w:style w:type="paragraph" w:styleId="Liste">
    <w:name w:val="List"/>
    <w:basedOn w:val="Textbody"/>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Fuzeile">
    <w:name w:val="footer"/>
    <w:basedOn w:val="Standard"/>
    <w:pPr>
      <w:suppressLineNumbers/>
      <w:tabs>
        <w:tab w:val="center" w:pos="4734"/>
        <w:tab w:val="right" w:pos="9468"/>
      </w:tabs>
      <w:jc w:val="right"/>
    </w:pPr>
    <w:rPr>
      <w:sz w:val="16"/>
    </w:rPr>
  </w:style>
  <w:style w:type="paragraph" w:styleId="Untertitel">
    <w:name w:val="Subtitle"/>
    <w:basedOn w:val="Heading"/>
    <w:next w:val="Textbody"/>
    <w:uiPriority w:val="11"/>
    <w:qFormat/>
    <w:pPr>
      <w:spacing w:before="0" w:after="119"/>
    </w:pPr>
    <w:rPr>
      <w:i/>
      <w:iCs/>
      <w:color w:val="999999"/>
    </w:rPr>
  </w:style>
  <w:style w:type="paragraph" w:styleId="Kopfzeile">
    <w:name w:val="header"/>
    <w:basedOn w:val="Standard"/>
    <w:pPr>
      <w:suppressLineNumbers/>
      <w:tabs>
        <w:tab w:val="center" w:pos="4734"/>
        <w:tab w:val="right" w:pos="9468"/>
      </w:tabs>
      <w:jc w:val="right"/>
    </w:pPr>
  </w:style>
  <w:style w:type="paragraph" w:customStyle="1" w:styleId="Headerright">
    <w:name w:val="Header right"/>
    <w:basedOn w:val="Standard"/>
    <w:pPr>
      <w:suppressLineNumbers/>
      <w:tabs>
        <w:tab w:val="center" w:pos="4734"/>
        <w:tab w:val="right" w:pos="9468"/>
      </w:tabs>
    </w:pPr>
  </w:style>
  <w:style w:type="paragraph" w:customStyle="1" w:styleId="Footnote">
    <w:name w:val="Footnote"/>
    <w:basedOn w:val="Standard"/>
    <w:pPr>
      <w:suppressLineNumbers/>
      <w:ind w:left="283" w:hanging="283"/>
    </w:pPr>
    <w:rPr>
      <w:szCs w:val="20"/>
    </w:rPr>
  </w:style>
  <w:style w:type="paragraph" w:customStyle="1" w:styleId="Quotations">
    <w:name w:val="Quotations"/>
    <w:basedOn w:val="Standard"/>
    <w:pPr>
      <w:spacing w:after="113"/>
      <w:ind w:left="283" w:right="283"/>
    </w:pPr>
    <w:rPr>
      <w:sz w:val="26"/>
    </w:rPr>
  </w:style>
  <w:style w:type="paragraph" w:customStyle="1" w:styleId="TableContents">
    <w:name w:val="Table Contents"/>
    <w:basedOn w:val="Standard"/>
    <w:pPr>
      <w:suppressLineNumbers/>
    </w:pPr>
  </w:style>
  <w:style w:type="paragraph" w:customStyle="1" w:styleId="PreformattedText">
    <w:name w:val="Preformatted Text"/>
    <w:basedOn w:val="Standard"/>
    <w:rPr>
      <w:rFonts w:ascii="Courier New" w:eastAsia="NSimSun"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Patrik%20Reimers/AppData/Roaming/OpenOffice/4/user/template/cayenne-text-vorlage-V.3.0.ot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cayenne-text-vorlage-V.3.0.ott</Template>
  <TotalTime>0</TotalTime>
  <Pages>2</Pages>
  <Words>761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Kai-Patrik Reimers</dc:creator>
  <cp:lastModifiedBy>Lars Peter Wall</cp:lastModifiedBy>
  <cp:revision>3</cp:revision>
  <cp:lastPrinted>2019-09-05T17:28:00Z</cp:lastPrinted>
  <dcterms:created xsi:type="dcterms:W3CDTF">2019-09-17T13:22:00Z</dcterms:created>
  <dcterms:modified xsi:type="dcterms:W3CDTF">2019-09-17T13:24:00Z</dcterms:modified>
</cp:coreProperties>
</file>